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E4" w:rsidRPr="00847641" w:rsidRDefault="00A17F03" w:rsidP="00AB41E4">
      <w:pPr>
        <w:jc w:val="center"/>
        <w:rPr>
          <w:rFonts w:ascii="Goudy-Old-Style" w:hAnsi="Goudy-Old-Style"/>
          <w:b/>
          <w:bCs/>
          <w:spacing w:val="-2"/>
          <w:sz w:val="28"/>
          <w:szCs w:val="32"/>
        </w:rPr>
      </w:pPr>
      <w:r w:rsidRPr="00847641">
        <w:rPr>
          <w:rFonts w:ascii="Goudy-Old-Style" w:hAnsi="Goudy-Old-Style"/>
          <w:b/>
          <w:bCs/>
          <w:spacing w:val="-2"/>
          <w:sz w:val="28"/>
          <w:szCs w:val="32"/>
        </w:rPr>
        <w:t>UN ITINERARIO</w:t>
      </w:r>
      <w:r w:rsidR="00AB41E4" w:rsidRPr="00847641">
        <w:rPr>
          <w:rFonts w:ascii="Goudy-Old-Style" w:hAnsi="Goudy-Old-Style"/>
          <w:b/>
          <w:bCs/>
          <w:spacing w:val="-2"/>
          <w:sz w:val="28"/>
          <w:szCs w:val="32"/>
        </w:rPr>
        <w:t xml:space="preserve"> MISTAGOGI</w:t>
      </w:r>
      <w:r w:rsidRPr="00847641">
        <w:rPr>
          <w:rFonts w:ascii="Goudy-Old-Style" w:hAnsi="Goudy-Old-Style"/>
          <w:b/>
          <w:bCs/>
          <w:spacing w:val="-2"/>
          <w:sz w:val="28"/>
          <w:szCs w:val="32"/>
        </w:rPr>
        <w:t>CO</w:t>
      </w:r>
      <w:r w:rsidR="00AB41E4" w:rsidRPr="00847641">
        <w:rPr>
          <w:rFonts w:ascii="Goudy-Old-Style" w:hAnsi="Goudy-Old-Style"/>
          <w:b/>
          <w:bCs/>
          <w:spacing w:val="-2"/>
          <w:sz w:val="28"/>
          <w:szCs w:val="32"/>
        </w:rPr>
        <w:t xml:space="preserve"> </w:t>
      </w:r>
    </w:p>
    <w:p w:rsidR="00D24E7C" w:rsidRPr="00847641" w:rsidRDefault="00DE3DE3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  <w:r w:rsidRPr="00847641">
        <w:rPr>
          <w:rFonts w:ascii="Goudy-Old-Style" w:hAnsi="Goudy-Old-Style"/>
          <w:b/>
          <w:bCs/>
          <w:i/>
          <w:spacing w:val="-2"/>
          <w:sz w:val="28"/>
          <w:szCs w:val="32"/>
        </w:rPr>
        <w:t xml:space="preserve">PRIMA E </w:t>
      </w:r>
      <w:r w:rsidR="00AB41E4" w:rsidRPr="00847641">
        <w:rPr>
          <w:rFonts w:ascii="Goudy-Old-Style" w:hAnsi="Goudy-Old-Style"/>
          <w:b/>
          <w:bCs/>
          <w:i/>
          <w:spacing w:val="-2"/>
          <w:sz w:val="28"/>
          <w:szCs w:val="32"/>
        </w:rPr>
        <w:t xml:space="preserve">DOPO </w:t>
      </w:r>
    </w:p>
    <w:p w:rsidR="00AB41E4" w:rsidRPr="00847641" w:rsidRDefault="00AB41E4" w:rsidP="00AB41E4">
      <w:pPr>
        <w:jc w:val="center"/>
        <w:rPr>
          <w:rFonts w:ascii="Goudy-Old-Style" w:hAnsi="Goudy-Old-Style"/>
          <w:b/>
          <w:bCs/>
          <w:spacing w:val="-2"/>
          <w:sz w:val="28"/>
          <w:szCs w:val="32"/>
        </w:rPr>
      </w:pPr>
      <w:r w:rsidRPr="00847641">
        <w:rPr>
          <w:rFonts w:ascii="Goudy-Old-Style" w:hAnsi="Goudy-Old-Style"/>
          <w:b/>
          <w:bCs/>
          <w:spacing w:val="-2"/>
          <w:sz w:val="28"/>
          <w:szCs w:val="32"/>
        </w:rPr>
        <w:t>IL SACRAMENTO DEL MATRIMONIO</w:t>
      </w:r>
    </w:p>
    <w:p w:rsidR="00DE3DE3" w:rsidRPr="00847641" w:rsidRDefault="00DE3DE3" w:rsidP="00AB41E4">
      <w:pPr>
        <w:jc w:val="center"/>
        <w:rPr>
          <w:rFonts w:ascii="Goudy-Old-Style" w:hAnsi="Goudy-Old-Style"/>
          <w:b/>
          <w:bCs/>
          <w:smallCaps/>
          <w:spacing w:val="-2"/>
          <w:sz w:val="32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847641" w:rsidRDefault="00847641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</w:p>
    <w:p w:rsidR="003839CD" w:rsidRPr="00847641" w:rsidRDefault="00D24E7C" w:rsidP="00AB41E4">
      <w:pPr>
        <w:jc w:val="center"/>
        <w:rPr>
          <w:rFonts w:ascii="Goudy-Old-Style" w:hAnsi="Goudy-Old-Style"/>
          <w:b/>
          <w:bCs/>
          <w:i/>
          <w:spacing w:val="-2"/>
          <w:sz w:val="28"/>
          <w:szCs w:val="32"/>
        </w:rPr>
      </w:pPr>
      <w:r w:rsidRPr="00847641">
        <w:rPr>
          <w:rFonts w:ascii="Goudy-Old-Style" w:hAnsi="Goudy-Old-Style"/>
          <w:b/>
          <w:bCs/>
          <w:i/>
          <w:spacing w:val="-2"/>
          <w:sz w:val="28"/>
          <w:szCs w:val="32"/>
        </w:rPr>
        <w:t xml:space="preserve">Alcune applicazioni pastorali </w:t>
      </w:r>
    </w:p>
    <w:p w:rsidR="00AB41E4" w:rsidRPr="00847641" w:rsidRDefault="00D24E7C" w:rsidP="00AB41E4">
      <w:pPr>
        <w:jc w:val="center"/>
        <w:rPr>
          <w:rFonts w:ascii="Goudy-Old-Style" w:hAnsi="Goudy-Old-Style"/>
          <w:b/>
          <w:bCs/>
          <w:i/>
          <w:smallCaps/>
          <w:spacing w:val="-2"/>
          <w:sz w:val="28"/>
          <w:szCs w:val="32"/>
        </w:rPr>
      </w:pPr>
      <w:r w:rsidRPr="00847641">
        <w:rPr>
          <w:rFonts w:ascii="Goudy-Old-Style" w:hAnsi="Goudy-Old-Style"/>
          <w:b/>
          <w:bCs/>
          <w:i/>
          <w:spacing w:val="-2"/>
          <w:sz w:val="28"/>
          <w:szCs w:val="32"/>
        </w:rPr>
        <w:t>alla luce della traccia pastorale 2016-2017</w:t>
      </w: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5F21D6" w:rsidRPr="00847641" w:rsidRDefault="005F21D6" w:rsidP="005F21D6">
      <w:pPr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lastRenderedPageBreak/>
        <w:t xml:space="preserve">Scrive l’Arcivescovo, </w:t>
      </w:r>
      <w:proofErr w:type="spellStart"/>
      <w:r w:rsidRPr="00847641">
        <w:rPr>
          <w:rFonts w:ascii="Goudy-Old-Style" w:hAnsi="Goudy-Old-Style"/>
          <w:bCs/>
          <w:spacing w:val="-2"/>
          <w:sz w:val="22"/>
          <w:szCs w:val="22"/>
        </w:rPr>
        <w:t>mons</w:t>
      </w:r>
      <w:proofErr w:type="spellEnd"/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. F. Cacucci nella traccia pastorale che ha affidato alla Chiesa di Bari-Bitonto per questo: </w:t>
      </w:r>
    </w:p>
    <w:p w:rsidR="00002806" w:rsidRPr="00847641" w:rsidRDefault="00002806" w:rsidP="00002806">
      <w:pPr>
        <w:spacing w:before="300"/>
        <w:ind w:left="703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“Se le opere di misericordia sono – seguendo San Paolo – rallegrarsi con quelli che sono nella gioia e piangere con quelli che sono nel pianto (</w:t>
      </w:r>
      <w:proofErr w:type="spellStart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cf</w:t>
      </w:r>
      <w:proofErr w:type="spellEnd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. </w:t>
      </w:r>
      <w:proofErr w:type="spellStart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Rm</w:t>
      </w:r>
      <w:proofErr w:type="spellEnd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 12,15), allora l’accompagnamento delle coppie è a suo modo un’opera di misericordia. Anzi, secondo la tradizione giudaica, proprio la prima opera di misericordia è assistere ai matrimoni. Perché? Perché è stato Dio il primo a farlo. Dio ha unito Adamo ed Eva in matrimonio e li ha benedetti. E, dopo il peccato, Egli stesso, quando erano nudi, li ha vestiti con «tuniche di misericordia</w:t>
      </w:r>
      <w:proofErr w:type="gramStart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» ,</w:t>
      </w:r>
      <w:proofErr w:type="gramEnd"/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 e accompagnati alla soglia di un nuovo inizio</w:t>
      </w:r>
      <w:r w:rsidR="005F21D6" w:rsidRPr="00847641">
        <w:rPr>
          <w:rFonts w:ascii="Goudy-Old-Style" w:hAnsi="Goudy-Old-Style"/>
          <w:bCs/>
          <w:i/>
          <w:spacing w:val="-2"/>
          <w:sz w:val="22"/>
          <w:szCs w:val="22"/>
        </w:rPr>
        <w:t>”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.</w:t>
      </w:r>
    </w:p>
    <w:p w:rsidR="00002806" w:rsidRPr="00847641" w:rsidRDefault="00002806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683B18" w:rsidRPr="00847641" w:rsidRDefault="005F21D6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Questo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accompagnamento delle coppie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si esplica concretamente negli itinerari di preparazione al matrimonio per i nubendi ma si estende a tutte le coppie già costituite da pochi o da molti anni. A tutti deve rivolgersi la cura pastorale delle nostre comunit</w:t>
      </w:r>
      <w:r w:rsidR="00683B18" w:rsidRPr="00847641">
        <w:rPr>
          <w:rFonts w:ascii="Goudy-Old-Style" w:hAnsi="Goudy-Old-Style"/>
          <w:bCs/>
          <w:spacing w:val="-2"/>
          <w:sz w:val="22"/>
          <w:szCs w:val="22"/>
        </w:rPr>
        <w:t>à.</w:t>
      </w:r>
    </w:p>
    <w:p w:rsidR="00683B18" w:rsidRPr="00847641" w:rsidRDefault="00FE2EFC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Certamente la formazione e l’accompagnamento </w:t>
      </w:r>
      <w:r w:rsidR="00683B18" w:rsidRPr="00847641">
        <w:rPr>
          <w:rFonts w:ascii="Goudy-Old-Style" w:hAnsi="Goudy-Old-Style"/>
          <w:bCs/>
          <w:spacing w:val="-2"/>
          <w:sz w:val="22"/>
          <w:szCs w:val="22"/>
        </w:rPr>
        <w:t xml:space="preserve">dei fidanzati e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delle giovani cop</w:t>
      </w:r>
      <w:r w:rsidR="00CC5422" w:rsidRPr="00847641">
        <w:rPr>
          <w:rFonts w:ascii="Goudy-Old-Style" w:hAnsi="Goudy-Old-Style"/>
          <w:bCs/>
          <w:spacing w:val="-2"/>
          <w:sz w:val="22"/>
          <w:szCs w:val="22"/>
        </w:rPr>
        <w:t xml:space="preserve">pie di sposi richiede tempo,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passione e creatività. </w:t>
      </w:r>
      <w:r w:rsidR="00683B18" w:rsidRPr="00847641">
        <w:rPr>
          <w:rFonts w:ascii="Goudy-Old-Style" w:hAnsi="Goudy-Old-Style"/>
          <w:bCs/>
          <w:spacing w:val="-2"/>
          <w:sz w:val="22"/>
          <w:szCs w:val="22"/>
        </w:rPr>
        <w:t>È necessario innanzitutto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 xml:space="preserve">accogliere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le giovani c</w:t>
      </w:r>
      <w:r w:rsidR="00683B18" w:rsidRPr="00847641">
        <w:rPr>
          <w:rFonts w:ascii="Goudy-Old-Style" w:hAnsi="Goudy-Old-Style"/>
          <w:b/>
          <w:bCs/>
          <w:spacing w:val="-2"/>
          <w:sz w:val="22"/>
          <w:szCs w:val="22"/>
        </w:rPr>
        <w:t>oppie: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in loro la comunità cristiana deve vedere non solo l’oggetto di un impegno costante ma anche una speranza e uno stimolo al rinnovamento della stessa parrocchia.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</w:p>
    <w:p w:rsidR="00FE2EFC" w:rsidRPr="00847641" w:rsidRDefault="00FE2EFC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L’obiettivo centrale da raggiungere in ogni percorso formativo per gli sposi è quello di alimentare la consapevolezza </w:t>
      </w:r>
      <w:r w:rsidR="00683B18" w:rsidRPr="00847641">
        <w:rPr>
          <w:rFonts w:ascii="Goudy-Old-Style" w:hAnsi="Goudy-Old-Style"/>
          <w:bCs/>
          <w:spacing w:val="-2"/>
          <w:sz w:val="22"/>
          <w:szCs w:val="22"/>
        </w:rPr>
        <w:t xml:space="preserve">del dono ricevuto mediante la celebrazione del sacramento,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per scoprire sempre più che la loro storia d’amore è parte della storia sacra perché abitata da Dio che con loro nel giorno delle nozze ha assunto un impegno al quale Egli non verrà mai meno. </w:t>
      </w:r>
    </w:p>
    <w:p w:rsidR="00A7540D" w:rsidRPr="00847641" w:rsidRDefault="00A7540D" w:rsidP="00A7540D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Abbiamo ribadito sin dall’inizio di quest’anno che il rito stesso, nella sua attuazione celebrativa è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mistagogia in atto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in quanto, attraverso i suoi testi e le sue sequenze rituali,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permette di entrare nel mistero che si celebra: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“il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mistero grande dell’amore di Cristo per la Chiesa al quale gli sposi sono chiamati a partecipare con il loro matrimonio”,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e favorisce una sua più efficace intelligenza e partecipazione. </w:t>
      </w:r>
      <w:r w:rsidR="002130BC" w:rsidRPr="00847641">
        <w:rPr>
          <w:rFonts w:ascii="Goudy-Old-Style" w:hAnsi="Goudy-Old-Style"/>
          <w:bCs/>
          <w:spacing w:val="-2"/>
          <w:sz w:val="22"/>
          <w:szCs w:val="22"/>
        </w:rPr>
        <w:t xml:space="preserve">Dobbiamo essere sempre più consapevoli che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la stessa celebrazione rituale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ben preparata, bene eseguita, e ancor più mistagogicamente ripresa nel cammino concreto della vita che da essa sgorga, può illuminare e orientare il vissuto degli sposi, giovani e meno giovani, confermando e rafforzando le esperienze positive, sostenendo le inevitabili stanchezze, verificando e curando le eventuali ferite.</w:t>
      </w:r>
    </w:p>
    <w:p w:rsidR="00922499" w:rsidRPr="00847641" w:rsidRDefault="002130BC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In questo modo non solo si afferma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i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>l valore del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la celebrazione del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sacramento del matrimonio,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ma si esprime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la consapevolezza che anche il </w:t>
      </w:r>
      <w:r w:rsidR="00FE2EFC"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Rito del matrimonio</w:t>
      </w:r>
      <w:r w:rsidR="00FE2EFC" w:rsidRPr="00847641">
        <w:rPr>
          <w:rFonts w:ascii="Goudy-Old-Style" w:hAnsi="Goudy-Old-Style"/>
          <w:bCs/>
          <w:i/>
          <w:spacing w:val="-2"/>
          <w:sz w:val="22"/>
          <w:szCs w:val="22"/>
        </w:rPr>
        <w:t>,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come ogni libro liturgico, non è semplicemente un testo da sacrestia ma, oltre ad essere uno 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lastRenderedPageBreak/>
        <w:t xml:space="preserve">strumento funzionale alla celebrazione, è capace di aiutare a comprendere a fondo, in modo intelligente, il senso e il valore di ciò che si celebra e a vivere pienamente quanto celebrato.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U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n libro liturgico come quello del </w:t>
      </w:r>
      <w:r w:rsidR="00FE2EFC"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Rito del Matrimonio</w:t>
      </w:r>
      <w:r w:rsidR="00FE2EF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può e deve ritrovare nella nostra coscienza ed esperienza di fede tutta la sua funzione di vera e propria “mistagogia” in preparazione alla celebrazione del “mistero grande” qual è l’evento sponsale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, e non solo “in preparazione”, mettendo in atto un processo </w:t>
      </w:r>
      <w:r w:rsidR="00922499" w:rsidRPr="00847641">
        <w:rPr>
          <w:rFonts w:ascii="Goudy-Old-Style" w:hAnsi="Goudy-Old-Style"/>
          <w:b/>
          <w:bCs/>
          <w:spacing w:val="-2"/>
          <w:sz w:val="22"/>
          <w:szCs w:val="22"/>
        </w:rPr>
        <w:t>non tanto di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="00922499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iniziazione </w:t>
      </w:r>
      <w:r w:rsidR="00922499"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al</w:t>
      </w:r>
      <w:r w:rsidR="00922499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 sacramento quanto di iniziazione </w:t>
      </w:r>
      <w:r w:rsidR="00922499"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dal</w:t>
      </w:r>
      <w:r w:rsidR="00922499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 sacramento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. </w:t>
      </w:r>
    </w:p>
    <w:p w:rsidR="00922499" w:rsidRPr="00847641" w:rsidRDefault="00FE2EFC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Il memoriale celebrato, attraverso i testi</w:t>
      </w:r>
      <w:r w:rsidR="002130BC" w:rsidRPr="00847641">
        <w:rPr>
          <w:rFonts w:ascii="Goudy-Old-Style" w:hAnsi="Goudy-Old-Style"/>
          <w:bCs/>
          <w:spacing w:val="-2"/>
          <w:sz w:val="22"/>
          <w:szCs w:val="22"/>
        </w:rPr>
        <w:t xml:space="preserve"> e i gesti della ritualità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ripresi nella preghiera e nella catechesi, può e deve diventare anche occasione per la coppia cristiana per arricchire la memoria storica dell’evento e far fruttificare nella vita quella “fontale” esperienza celebrativa. </w:t>
      </w:r>
    </w:p>
    <w:p w:rsidR="00FE2EFC" w:rsidRPr="00847641" w:rsidRDefault="00FE2EFC" w:rsidP="00FE2EFC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Davvero la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celebrazione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può essere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sorgente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della vita degli sposi e il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Rito del matrimonio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può invadere il tempo del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“divenire coppia”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nel Signore e nella Chiesa, forti dello Spirito; proprio come esprime il congedo rituale: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“Nella Chiesa e nel mondo, siate testimoni del dono della vita e dell’amore che avete celebrato”. </w:t>
      </w:r>
    </w:p>
    <w:p w:rsidR="00FE2EFC" w:rsidRPr="00847641" w:rsidRDefault="00FE2EFC" w:rsidP="00FE2EFC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Il nostro impegno nella catechesi, il nostro qualificato servizio pastorale, e soprattutto la gioiosa consapevolezza di quello che facciamo nella celebrazione e di quello che il Signore, a partire da essa ci fa essere nella vita, trasmettano a tante coppie che decideranno o hanno già deciso per il matrimonio cristiano la gioia di “sposarsi o essere sposati nel Signore”.</w:t>
      </w:r>
    </w:p>
    <w:p w:rsidR="00277863" w:rsidRPr="00847641" w:rsidRDefault="001A288B" w:rsidP="00277863">
      <w:pPr>
        <w:ind w:right="-81"/>
        <w:jc w:val="both"/>
        <w:rPr>
          <w:rFonts w:ascii="Goudy-Old-Style" w:hAnsi="Goudy-Old-Style"/>
          <w:b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Una possibile applicazione pastorale</w:t>
      </w:r>
      <w:r w:rsidR="00DE3DE3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 alla luce della traccia dell’Arcivescovo</w:t>
      </w:r>
    </w:p>
    <w:p w:rsidR="001A288B" w:rsidRPr="00847641" w:rsidRDefault="001A288B" w:rsidP="0027786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B30222" w:rsidRPr="00847641" w:rsidRDefault="00D63952" w:rsidP="0027786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Affin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 xml:space="preserve">ché 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questo </w:t>
      </w:r>
      <w:r w:rsidR="001A288B" w:rsidRPr="00847641">
        <w:rPr>
          <w:rFonts w:ascii="Goudy-Old-Style" w:hAnsi="Goudy-Old-Style"/>
          <w:b/>
          <w:bCs/>
          <w:spacing w:val="-2"/>
          <w:sz w:val="22"/>
          <w:szCs w:val="22"/>
        </w:rPr>
        <w:t>accompagnamento mistagogico</w:t>
      </w:r>
      <w:r w:rsidR="00277863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 </w:t>
      </w:r>
      <w:r w:rsidR="001A288B" w:rsidRPr="00847641">
        <w:rPr>
          <w:rFonts w:ascii="Goudy-Old-Style" w:hAnsi="Goudy-Old-Style"/>
          <w:b/>
          <w:bCs/>
          <w:spacing w:val="-2"/>
          <w:sz w:val="22"/>
          <w:szCs w:val="22"/>
        </w:rPr>
        <w:t>per le giovani coppie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>possa trov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>are uno spazio applicativo nella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 xml:space="preserve"> comunità, </w:t>
      </w:r>
      <w:r w:rsidR="00DA3811" w:rsidRPr="00847641">
        <w:rPr>
          <w:rFonts w:ascii="Goudy-Old-Style" w:hAnsi="Goudy-Old-Style"/>
          <w:bCs/>
          <w:spacing w:val="-2"/>
          <w:sz w:val="22"/>
          <w:szCs w:val="22"/>
        </w:rPr>
        <w:t>continuiamo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 -</w:t>
      </w:r>
      <w:r w:rsidR="00DA3811" w:rsidRPr="00847641">
        <w:rPr>
          <w:rFonts w:ascii="Goudy-Old-Style" w:hAnsi="Goudy-Old-Style"/>
          <w:bCs/>
          <w:spacing w:val="-2"/>
          <w:sz w:val="22"/>
          <w:szCs w:val="22"/>
        </w:rPr>
        <w:t xml:space="preserve"> come abbiamo fatto nella prima parte dell’anno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- 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>ad individuare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>, senza pretesa di completezza, qualche orientamento</w:t>
      </w:r>
      <w:r w:rsidR="000B027F" w:rsidRPr="00847641">
        <w:rPr>
          <w:rFonts w:ascii="Goudy-Old-Style" w:hAnsi="Goudy-Old-Style"/>
          <w:bCs/>
          <w:spacing w:val="-2"/>
          <w:sz w:val="22"/>
          <w:szCs w:val="22"/>
        </w:rPr>
        <w:t xml:space="preserve"> che aiuti a concretizzare le indicazioni richiamate dall’Arcivescovo nella traccia pastorale consegnata per questo anno alle nostre comunità.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</w:p>
    <w:p w:rsidR="00CC5422" w:rsidRPr="00847641" w:rsidRDefault="00CC5422" w:rsidP="0027786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E203F2" w:rsidRPr="00847641" w:rsidRDefault="00DA3811" w:rsidP="0027786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Continuiamo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ad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 inser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>ire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 il cammino delle giovani coppie in 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quello che può considerarsi il </w:t>
      </w:r>
      <w:r w:rsidR="00D30989" w:rsidRPr="00847641">
        <w:rPr>
          <w:rFonts w:ascii="Goudy-Old-Style" w:hAnsi="Goudy-Old-Style"/>
          <w:b/>
          <w:bCs/>
          <w:spacing w:val="-2"/>
          <w:sz w:val="22"/>
          <w:szCs w:val="22"/>
        </w:rPr>
        <w:t xml:space="preserve">grande e privilegiato </w:t>
      </w:r>
      <w:r w:rsidR="00D30989"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itinerario mistagogico</w:t>
      </w:r>
      <w:r w:rsidR="00D30989"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 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della comunità cristiana, l’anno liturgico, vero e proprio </w:t>
      </w:r>
      <w:r w:rsidR="00277863" w:rsidRPr="00847641">
        <w:rPr>
          <w:rFonts w:ascii="Goudy-Old-Style" w:hAnsi="Goudy-Old-Style"/>
          <w:bCs/>
          <w:i/>
          <w:spacing w:val="-2"/>
          <w:sz w:val="22"/>
          <w:szCs w:val="22"/>
        </w:rPr>
        <w:t>itinerario di fede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 attraverso il quale ogni volta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, la Chiesa </w:t>
      </w:r>
      <w:r w:rsidR="001A288B" w:rsidRPr="00847641">
        <w:rPr>
          <w:rFonts w:ascii="Goudy-Old-Style" w:hAnsi="Goudy-Old-Style"/>
          <w:bCs/>
          <w:i/>
          <w:spacing w:val="-2"/>
          <w:sz w:val="22"/>
          <w:szCs w:val="22"/>
        </w:rPr>
        <w:t>ci prende per mano</w:t>
      </w:r>
      <w:r w:rsidR="001A288B" w:rsidRPr="00847641">
        <w:rPr>
          <w:rFonts w:ascii="Goudy-Old-Style" w:hAnsi="Goudy-Old-Style"/>
          <w:bCs/>
          <w:spacing w:val="-2"/>
          <w:sz w:val="22"/>
          <w:szCs w:val="22"/>
        </w:rPr>
        <w:t xml:space="preserve"> per farci percorrere un nuovo tratto di strada verso Cristo.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 Anche i fidanzati e le giovani coppie devono essere coinvolti nelle varie tappe di questo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 xml:space="preserve"> cammino 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>p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>e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>r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 xml:space="preserve"> 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 xml:space="preserve">essere 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>introd</w:t>
      </w:r>
      <w:r w:rsidR="00D30989" w:rsidRPr="00847641">
        <w:rPr>
          <w:rFonts w:ascii="Goudy-Old-Style" w:hAnsi="Goudy-Old-Style"/>
          <w:bCs/>
          <w:spacing w:val="-2"/>
          <w:sz w:val="22"/>
          <w:szCs w:val="22"/>
        </w:rPr>
        <w:t>otti</w:t>
      </w:r>
      <w:r w:rsidR="00277863" w:rsidRPr="00847641">
        <w:rPr>
          <w:rFonts w:ascii="Goudy-Old-Style" w:hAnsi="Goudy-Old-Style"/>
          <w:bCs/>
          <w:spacing w:val="-2"/>
          <w:sz w:val="22"/>
          <w:szCs w:val="22"/>
        </w:rPr>
        <w:t xml:space="preserve"> gradualmente nel mistero di Cristo e nella vita della Chiesa.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Di questo cammino, parte privilegiata sono i tempi della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Quaresima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e della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Pasqu</w:t>
      </w:r>
      <w:r w:rsidR="00922499" w:rsidRPr="00847641">
        <w:rPr>
          <w:rFonts w:ascii="Goudy-Old-Style" w:hAnsi="Goudy-Old-Style"/>
          <w:b/>
          <w:bCs/>
          <w:spacing w:val="-2"/>
          <w:sz w:val="22"/>
          <w:szCs w:val="22"/>
        </w:rPr>
        <w:t>a</w:t>
      </w:r>
      <w:r w:rsidR="00922499" w:rsidRPr="00847641">
        <w:rPr>
          <w:rFonts w:ascii="Goudy-Old-Style" w:hAnsi="Goudy-Old-Style"/>
          <w:bCs/>
          <w:spacing w:val="-2"/>
          <w:sz w:val="22"/>
          <w:szCs w:val="22"/>
        </w:rPr>
        <w:t xml:space="preserve">, senza tralasciare la </w:t>
      </w:r>
      <w:r w:rsidR="00922499" w:rsidRPr="00F63779">
        <w:rPr>
          <w:rFonts w:ascii="Goudy-Old-Style" w:hAnsi="Goudy-Old-Style"/>
          <w:b/>
          <w:bCs/>
          <w:spacing w:val="-2"/>
          <w:sz w:val="22"/>
          <w:szCs w:val="22"/>
        </w:rPr>
        <w:t>seconda parte del Tempo Ordinario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.</w:t>
      </w:r>
    </w:p>
    <w:p w:rsidR="007C3F07" w:rsidRPr="00847641" w:rsidRDefault="007C3F07" w:rsidP="0027786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Quaresima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</w:p>
    <w:p w:rsidR="00DA3811" w:rsidRPr="00847641" w:rsidRDefault="00922499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È</w:t>
      </w:r>
      <w:r w:rsidR="00DA3811" w:rsidRPr="00847641">
        <w:rPr>
          <w:rFonts w:ascii="Goudy-Old-Style" w:hAnsi="Goudy-Old-Style"/>
          <w:bCs/>
          <w:spacing w:val="-2"/>
          <w:sz w:val="22"/>
          <w:szCs w:val="22"/>
        </w:rPr>
        <w:t xml:space="preserve"> il tempo favorevole in cui la comunità, e i giovani in particolare, compreso i giovani sposi, sono invitati a </w:t>
      </w:r>
      <w:r w:rsidR="00DA3811" w:rsidRPr="00847641">
        <w:rPr>
          <w:rFonts w:ascii="Goudy-Old-Style" w:hAnsi="Goudy-Old-Style"/>
          <w:b/>
          <w:bCs/>
          <w:spacing w:val="-2"/>
          <w:sz w:val="22"/>
          <w:szCs w:val="22"/>
        </w:rPr>
        <w:t>vivere spazi e tempi di preghiera</w:t>
      </w:r>
      <w:r w:rsidR="00DA3811" w:rsidRPr="00847641">
        <w:rPr>
          <w:rFonts w:ascii="Goudy-Old-Style" w:hAnsi="Goudy-Old-Style"/>
          <w:bCs/>
          <w:spacing w:val="-2"/>
          <w:sz w:val="22"/>
          <w:szCs w:val="22"/>
        </w:rPr>
        <w:t xml:space="preserve"> all’insegna della gratuità, della contemplazione, del silenzio, con il desiderio di “</w:t>
      </w:r>
      <w:r w:rsidR="00DA3811" w:rsidRPr="00847641">
        <w:rPr>
          <w:rFonts w:ascii="Goudy-Old-Style" w:hAnsi="Goudy-Old-Style"/>
          <w:bCs/>
          <w:i/>
          <w:spacing w:val="-2"/>
          <w:sz w:val="22"/>
          <w:szCs w:val="22"/>
        </w:rPr>
        <w:t>crescere nella conoscenza del mistero di Cristo</w:t>
      </w:r>
      <w:r w:rsidR="00DA3811" w:rsidRPr="00847641">
        <w:rPr>
          <w:rFonts w:ascii="Goudy-Old-Style" w:hAnsi="Goudy-Old-Style"/>
          <w:bCs/>
          <w:spacing w:val="-2"/>
          <w:sz w:val="22"/>
          <w:szCs w:val="22"/>
        </w:rPr>
        <w:t>”. Sarà opportuno proporre tempi di ascolto della Parola che, più efficace dell’acqua che feconda il terreno, è capace di dissetare la sete e i bisogni nascosti nei cuori dei più giovani, che guardano con speranza, ma anche con trepidazione, al futuro.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I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fidanzati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per tanto, come pure i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giovani sposi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continueranno il loro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itinerario di fede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lasciandosi illuminare e accompagnare da una </w:t>
      </w:r>
      <w:r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catechesi biblica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che può attingere dalla stessa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preghiera di benedizione sugli sposi del rito del Matrimonio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. Potranno spaziare nella storia della Salvezza per riconoscervi gli interventi di Dio che hanno relazione con la vita e la missione della coppia cristiana. In continuità con il cammino intrapreso, saranno aiutati a leggere con maggiore profondità il dono del Matrimonio come uno sviluppo e una esplicitazione della vocazione battesimale</w:t>
      </w:r>
      <w:r w:rsidR="00980859" w:rsidRPr="00847641">
        <w:rPr>
          <w:rFonts w:ascii="Goudy-Old-Style" w:hAnsi="Goudy-Old-Style"/>
          <w:bCs/>
          <w:spacing w:val="-2"/>
          <w:sz w:val="22"/>
          <w:szCs w:val="22"/>
        </w:rPr>
        <w:t>, configurazione alla vita del Figlio, Sposo della Chiesa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. Sarà necessario pensare per loro, in questo tempo, qualche momento di </w:t>
      </w:r>
      <w:r w:rsidR="00980859"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ritiro spirituale </w:t>
      </w:r>
      <w:r w:rsidR="00980859" w:rsidRPr="00847641">
        <w:rPr>
          <w:rFonts w:ascii="Goudy-Old-Style" w:hAnsi="Goudy-Old-Style"/>
          <w:bCs/>
          <w:spacing w:val="-2"/>
          <w:sz w:val="22"/>
          <w:szCs w:val="22"/>
        </w:rPr>
        <w:t>(come quelli proposti a livello diocesano per tutti i nubendi).</w:t>
      </w:r>
      <w:r w:rsidR="00980859"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 </w:t>
      </w:r>
    </w:p>
    <w:p w:rsidR="00980859" w:rsidRPr="00847641" w:rsidRDefault="00980859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Pasqua e Pentecoste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I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fidanzati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,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nel loro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itinerario,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saranno aiutati a scoprire come il sacramento del Matrimonio che si preparano a celebrare rappresenta e attua il mistero pas</w:t>
      </w:r>
      <w:r w:rsidR="00980859" w:rsidRPr="00847641">
        <w:rPr>
          <w:rFonts w:ascii="Goudy-Old-Style" w:hAnsi="Goudy-Old-Style"/>
          <w:bCs/>
          <w:spacing w:val="-2"/>
          <w:sz w:val="22"/>
          <w:szCs w:val="22"/>
        </w:rPr>
        <w:t>quale di Cristo e della Chiesa, che è mistero nuziale. È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nella Pasqua che si consuma il «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mistero grande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» dell’amore dello Sposo per la sua Sposa, e l’amore coniugale consacrato e vissuto “in Cristo” ha in questo mistero il suo senso e la sua bellezza. Un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consenso che abbraccia tutta la vita, l’impegno di accogliersi ed essere fedeli per sempre, richiamato dal segno degli anelli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trovano nella </w:t>
      </w:r>
      <w:r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grazia di Cristo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e nella </w:t>
      </w:r>
      <w:r w:rsidRPr="00847641">
        <w:rPr>
          <w:rFonts w:ascii="Goudy-Old-Style" w:hAnsi="Goudy-Old-Style"/>
          <w:b/>
          <w:bCs/>
          <w:i/>
          <w:spacing w:val="-2"/>
          <w:sz w:val="22"/>
          <w:szCs w:val="22"/>
        </w:rPr>
        <w:t>forza dello Spirito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il sigillo divino che fa dell’amo</w:t>
      </w:r>
      <w:r w:rsidR="00980859" w:rsidRPr="00847641">
        <w:rPr>
          <w:rFonts w:ascii="Goudy-Old-Style" w:hAnsi="Goudy-Old-Style"/>
          <w:bCs/>
          <w:spacing w:val="-2"/>
          <w:sz w:val="22"/>
          <w:szCs w:val="22"/>
        </w:rPr>
        <w:t>re umano un evento di salvezza e una vera consacrazione.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I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giovani sposi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e le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famiglie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che hanno intrapreso un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 xml:space="preserve">itinerario mistagogico,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cresceranno nella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consapevolezza del dono ricevuto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continuando la “rilettura” del rito del sacramento celebrato e in particolare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il momento del consenso e dello scambio degli anelli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la cui intensità deve esprimersi lungo il corso di tutta la vita matrimoniale e familiare come segno di una fedeltà capace di accogliere l’altra persona con il suo passato, il suo presente e il suo futuro. Ma soprattutto attraverso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la riscoperta dell’Eucaristia domenicale come mistero nuziale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saranno aiutati a considerare la loro vita familiare come mistero eucaristico celebrato nel quotidiano. Immergendo, ogni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lastRenderedPageBreak/>
        <w:t>volta, le radici del loro amore sponsale nel sacrificio eucaristico e alimentando dal banchetto del cielo la loro vita coniugale, si sentiranno sostenuti dallo stesso Spirito che vivifica e santifica la Chiesa e di questo corpo sapranno essere, anche loro, membra vive.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Tempo Ordinario dopo Pentecoste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>La Liturgia della Parola della Messa domenicale in ques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to tempo permette, mediante l’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omelia, una profonda educazione alla fede fondata sulla teologia della vicenda storica di Gesù, come viene presentata dal racconto dei singoli evangelisti. Occorre essere molto attenti a questo aspetto per aiutare i fedeli e le giovani coppie a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cogliere, di domenica in domenica, nella continuità della narrazione evangelica, la presentazione del mistero di Cristo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. Questa è catechesi fondamentale ed essenziale. La lettura delle 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L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ettere degli apostoli (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Il lettura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) permette, infine, di richiamare a tutti gli aspetti fondamentali della vita della Chiesa. 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Oltre i momenti celebrativi, non dovranno mancare </w:t>
      </w:r>
      <w:r w:rsidRPr="00847641">
        <w:rPr>
          <w:rFonts w:ascii="Goudy-Old-Style" w:hAnsi="Goudy-Old-Style"/>
          <w:b/>
          <w:bCs/>
          <w:spacing w:val="-2"/>
          <w:sz w:val="22"/>
          <w:szCs w:val="22"/>
        </w:rPr>
        <w:t>attività formative e di condivisione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, coinvolgendo, in modo particolare le giovani coppie e le famiglie, da quelle più impegnati nella parrocchia a quelle invitate e accolte durante l’intero anno. 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È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importante che tutti vivano l’esperienza della comunità, </w:t>
      </w:r>
      <w:r w:rsidRPr="00847641">
        <w:rPr>
          <w:rFonts w:ascii="Goudy-Old-Style" w:hAnsi="Goudy-Old-Style"/>
          <w:bCs/>
          <w:i/>
          <w:spacing w:val="-2"/>
          <w:sz w:val="22"/>
          <w:szCs w:val="22"/>
        </w:rPr>
        <w:t>famiglia di famiglie.</w:t>
      </w:r>
    </w:p>
    <w:p w:rsidR="00DA3811" w:rsidRPr="00847641" w:rsidRDefault="00DA3811" w:rsidP="00DA3811">
      <w:pPr>
        <w:ind w:right="-81"/>
        <w:jc w:val="both"/>
        <w:rPr>
          <w:rFonts w:ascii="Goudy-Old-Style" w:hAnsi="Goudy-Old-Style"/>
          <w:bCs/>
          <w:i/>
          <w:spacing w:val="-2"/>
          <w:sz w:val="22"/>
          <w:szCs w:val="22"/>
        </w:rPr>
      </w:pPr>
    </w:p>
    <w:p w:rsidR="00834522" w:rsidRPr="00847641" w:rsidRDefault="00DA3811" w:rsidP="00DA3811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Anche il culto della Madonna e dei Santi, che tante comunità nei mesi estivi venerano con espressioni particolari di devozione e di festa, può diventare attraverso tempi di preghiera e di riflessione, occasione propizia di “evangelizzazione” e per le giovani coppie, in particolare, richiamando 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“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l’invocazione dei santi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”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nella celebrazione del loro matrimonio, può diventare un impegno a conoscere e imitare 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 xml:space="preserve">la capacità 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d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i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 xml:space="preserve"> questi testimoni della fede </w:t>
      </w:r>
      <w:r w:rsidR="008153B5" w:rsidRPr="00847641">
        <w:rPr>
          <w:rFonts w:ascii="Goudy-Old-Style" w:hAnsi="Goudy-Old-Style"/>
          <w:bCs/>
          <w:spacing w:val="-2"/>
          <w:sz w:val="22"/>
          <w:szCs w:val="22"/>
        </w:rPr>
        <w:t>di assorbire la vita divina per esprimerla nell’offerta d</w:t>
      </w:r>
      <w:r w:rsidRPr="00847641">
        <w:rPr>
          <w:rFonts w:ascii="Goudy-Old-Style" w:hAnsi="Goudy-Old-Style"/>
          <w:bCs/>
          <w:spacing w:val="-2"/>
          <w:sz w:val="22"/>
          <w:szCs w:val="22"/>
        </w:rPr>
        <w:t>ella loro vita.</w:t>
      </w:r>
    </w:p>
    <w:p w:rsidR="00B06092" w:rsidRPr="00847641" w:rsidRDefault="00B06092" w:rsidP="00DE3DE3">
      <w:pPr>
        <w:ind w:right="-81"/>
        <w:jc w:val="both"/>
        <w:rPr>
          <w:rFonts w:ascii="Goudy-Old-Style" w:hAnsi="Goudy-Old-Style"/>
          <w:bCs/>
          <w:spacing w:val="-2"/>
          <w:sz w:val="22"/>
          <w:szCs w:val="2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F63779" w:rsidRDefault="00F63779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r w:rsidRPr="00847641">
        <w:rPr>
          <w:rFonts w:ascii="Goudy-Old-Style" w:hAnsi="Goudy-Old-Style" w:cs="Tahoma"/>
          <w:i/>
          <w:sz w:val="36"/>
          <w:szCs w:val="32"/>
        </w:rPr>
        <w:t xml:space="preserve">Cari fratelli, 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come</w:t>
      </w:r>
      <w:proofErr w:type="gramEnd"/>
      <w:r w:rsidRPr="00847641">
        <w:rPr>
          <w:rFonts w:ascii="Goudy-Old-Style" w:hAnsi="Goudy-Old-Style" w:cs="Tahoma"/>
          <w:i/>
          <w:sz w:val="36"/>
          <w:szCs w:val="32"/>
        </w:rPr>
        <w:t xml:space="preserve"> ho detto varie volte, </w:t>
      </w:r>
    </w:p>
    <w:p w:rsidR="00F63779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occ</w:t>
      </w:r>
      <w:r w:rsidR="00F63779">
        <w:rPr>
          <w:rFonts w:ascii="Goudy-Old-Style" w:hAnsi="Goudy-Old-Style" w:cs="Tahoma"/>
          <w:i/>
          <w:sz w:val="36"/>
          <w:szCs w:val="32"/>
        </w:rPr>
        <w:t>orre</w:t>
      </w:r>
      <w:proofErr w:type="gramEnd"/>
      <w:r w:rsidR="00F63779">
        <w:rPr>
          <w:rFonts w:ascii="Goudy-Old-Style" w:hAnsi="Goudy-Old-Style" w:cs="Tahoma"/>
          <w:i/>
          <w:sz w:val="36"/>
          <w:szCs w:val="32"/>
        </w:rPr>
        <w:t xml:space="preserve"> grande coraggio a sposarsi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nel</w:t>
      </w:r>
      <w:proofErr w:type="gramEnd"/>
      <w:r w:rsidRPr="00847641">
        <w:rPr>
          <w:rFonts w:ascii="Goudy-Old-Style" w:hAnsi="Goudy-Old-Style" w:cs="Tahoma"/>
          <w:i/>
          <w:sz w:val="36"/>
          <w:szCs w:val="32"/>
        </w:rPr>
        <w:t xml:space="preserve"> tempo in cui viviamo. 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r w:rsidRPr="00847641">
        <w:rPr>
          <w:rFonts w:ascii="Goudy-Old-Style" w:hAnsi="Goudy-Old-Style" w:cs="Tahoma"/>
          <w:i/>
          <w:sz w:val="36"/>
          <w:szCs w:val="32"/>
        </w:rPr>
        <w:t xml:space="preserve">E quanti hanno la forza e la gioia 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di</w:t>
      </w:r>
      <w:proofErr w:type="gramEnd"/>
      <w:r w:rsidRPr="00847641">
        <w:rPr>
          <w:rFonts w:ascii="Goudy-Old-Style" w:hAnsi="Goudy-Old-Style" w:cs="Tahoma"/>
          <w:i/>
          <w:sz w:val="36"/>
          <w:szCs w:val="32"/>
        </w:rPr>
        <w:t xml:space="preserve"> compiere questo passo importante 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devono</w:t>
      </w:r>
      <w:proofErr w:type="gramEnd"/>
      <w:r w:rsidRPr="00847641">
        <w:rPr>
          <w:rFonts w:ascii="Goudy-Old-Style" w:hAnsi="Goudy-Old-Style" w:cs="Tahoma"/>
          <w:i/>
          <w:sz w:val="36"/>
          <w:szCs w:val="32"/>
        </w:rPr>
        <w:t xml:space="preserve"> sentire accanto a loro 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36"/>
          <w:szCs w:val="32"/>
        </w:rPr>
      </w:pPr>
      <w:proofErr w:type="gramStart"/>
      <w:r w:rsidRPr="00847641">
        <w:rPr>
          <w:rFonts w:ascii="Goudy-Old-Style" w:hAnsi="Goudy-Old-Style" w:cs="Tahoma"/>
          <w:i/>
          <w:sz w:val="36"/>
          <w:szCs w:val="32"/>
        </w:rPr>
        <w:t>l’affetto</w:t>
      </w:r>
      <w:proofErr w:type="gramEnd"/>
      <w:r w:rsidRPr="00847641">
        <w:rPr>
          <w:rFonts w:ascii="Goudy-Old-Style" w:hAnsi="Goudy-Old-Style" w:cs="Tahoma"/>
          <w:i/>
          <w:sz w:val="36"/>
          <w:szCs w:val="32"/>
        </w:rPr>
        <w:t xml:space="preserve"> e la vicinanza concreta della Chiesa.</w:t>
      </w:r>
    </w:p>
    <w:p w:rsidR="00B06092" w:rsidRPr="00847641" w:rsidRDefault="00B06092" w:rsidP="00B06092">
      <w:pPr>
        <w:ind w:right="-81"/>
        <w:jc w:val="center"/>
        <w:rPr>
          <w:rFonts w:ascii="Goudy-Old-Style" w:hAnsi="Goudy-Old-Style" w:cs="Tahoma"/>
          <w:i/>
          <w:sz w:val="40"/>
          <w:szCs w:val="32"/>
        </w:rPr>
      </w:pPr>
    </w:p>
    <w:p w:rsidR="00B06092" w:rsidRDefault="00B06092" w:rsidP="00B06092">
      <w:pPr>
        <w:ind w:right="-81"/>
        <w:jc w:val="center"/>
        <w:rPr>
          <w:rFonts w:ascii="Goudy-Old-Style" w:hAnsi="Goudy-Old-Style" w:cs="Tahoma"/>
          <w:i/>
          <w:sz w:val="28"/>
          <w:szCs w:val="32"/>
        </w:rPr>
      </w:pPr>
      <w:r w:rsidRPr="00847641">
        <w:rPr>
          <w:rFonts w:ascii="Goudy-Old-Style" w:hAnsi="Goudy-Old-Style" w:cs="Tahoma"/>
          <w:i/>
          <w:sz w:val="28"/>
          <w:szCs w:val="32"/>
        </w:rPr>
        <w:t>Papa Francesco</w:t>
      </w: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8"/>
          <w:szCs w:val="32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  <w:bookmarkStart w:id="0" w:name="_GoBack"/>
      <w:bookmarkEnd w:id="0"/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Default="00847641" w:rsidP="00B06092">
      <w:pPr>
        <w:ind w:right="-81"/>
        <w:jc w:val="center"/>
        <w:rPr>
          <w:rFonts w:ascii="Goudy-Old-Style" w:hAnsi="Goudy-Old-Style" w:cs="Tahoma"/>
          <w:i/>
          <w:sz w:val="20"/>
          <w:szCs w:val="20"/>
        </w:rPr>
      </w:pPr>
    </w:p>
    <w:p w:rsidR="00847641" w:rsidRPr="00847641" w:rsidRDefault="00847641" w:rsidP="00B06092">
      <w:pPr>
        <w:ind w:right="-81"/>
        <w:jc w:val="center"/>
        <w:rPr>
          <w:rFonts w:ascii="Goudy-Old-Style" w:hAnsi="Goudy-Old-Style"/>
          <w:bCs/>
          <w:i/>
          <w:spacing w:val="-2"/>
          <w:sz w:val="20"/>
          <w:szCs w:val="20"/>
        </w:rPr>
      </w:pPr>
      <w:r>
        <w:rPr>
          <w:rFonts w:ascii="Goudy-Old-Style" w:hAnsi="Goudy-Old-Style" w:cs="Tahoma"/>
          <w:i/>
          <w:sz w:val="20"/>
          <w:szCs w:val="20"/>
        </w:rPr>
        <w:t>© Ufficio Liturgico Diocesano</w:t>
      </w:r>
    </w:p>
    <w:sectPr w:rsidR="00847641" w:rsidRPr="00847641" w:rsidSect="00847641">
      <w:footerReference w:type="even" r:id="rId7"/>
      <w:footerReference w:type="default" r:id="rId8"/>
      <w:pgSz w:w="8420" w:h="11907" w:orient="landscape" w:code="9"/>
      <w:pgMar w:top="709" w:right="62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B7" w:rsidRDefault="002434B7">
      <w:r>
        <w:separator/>
      </w:r>
    </w:p>
  </w:endnote>
  <w:endnote w:type="continuationSeparator" w:id="0">
    <w:p w:rsidR="002434B7" w:rsidRDefault="0024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859" w:rsidRDefault="00980859" w:rsidP="001540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80859" w:rsidRDefault="00980859" w:rsidP="00CF29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859" w:rsidRDefault="00980859" w:rsidP="001540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377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980859" w:rsidRDefault="00980859" w:rsidP="00CF29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B7" w:rsidRDefault="002434B7">
      <w:r>
        <w:separator/>
      </w:r>
    </w:p>
  </w:footnote>
  <w:footnote w:type="continuationSeparator" w:id="0">
    <w:p w:rsidR="002434B7" w:rsidRDefault="0024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4E04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A7E1B"/>
    <w:multiLevelType w:val="hybridMultilevel"/>
    <w:tmpl w:val="15DE5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2167"/>
    <w:multiLevelType w:val="hybridMultilevel"/>
    <w:tmpl w:val="3B00D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62447"/>
    <w:multiLevelType w:val="hybridMultilevel"/>
    <w:tmpl w:val="9992086A"/>
    <w:lvl w:ilvl="0" w:tplc="4A8E8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1A"/>
    <w:rsid w:val="000018C8"/>
    <w:rsid w:val="00002806"/>
    <w:rsid w:val="00065438"/>
    <w:rsid w:val="000877A2"/>
    <w:rsid w:val="000B027F"/>
    <w:rsid w:val="000E5B4E"/>
    <w:rsid w:val="000F0EAF"/>
    <w:rsid w:val="0011178D"/>
    <w:rsid w:val="00117F7D"/>
    <w:rsid w:val="001274BF"/>
    <w:rsid w:val="001540DB"/>
    <w:rsid w:val="001A288B"/>
    <w:rsid w:val="001C0A88"/>
    <w:rsid w:val="002130BC"/>
    <w:rsid w:val="002434B7"/>
    <w:rsid w:val="00253CC4"/>
    <w:rsid w:val="0025629B"/>
    <w:rsid w:val="00277863"/>
    <w:rsid w:val="002F08FF"/>
    <w:rsid w:val="00304D8F"/>
    <w:rsid w:val="00335AA2"/>
    <w:rsid w:val="00344E78"/>
    <w:rsid w:val="003839CD"/>
    <w:rsid w:val="003A16A0"/>
    <w:rsid w:val="003E4368"/>
    <w:rsid w:val="003E4E1D"/>
    <w:rsid w:val="00423837"/>
    <w:rsid w:val="004472BD"/>
    <w:rsid w:val="004527B5"/>
    <w:rsid w:val="0045486C"/>
    <w:rsid w:val="0047758A"/>
    <w:rsid w:val="004A418A"/>
    <w:rsid w:val="004E5728"/>
    <w:rsid w:val="00562A03"/>
    <w:rsid w:val="0058298C"/>
    <w:rsid w:val="00596274"/>
    <w:rsid w:val="005B5F2F"/>
    <w:rsid w:val="005E4E22"/>
    <w:rsid w:val="005F21D6"/>
    <w:rsid w:val="00662ABE"/>
    <w:rsid w:val="00683B18"/>
    <w:rsid w:val="006F00FD"/>
    <w:rsid w:val="00752405"/>
    <w:rsid w:val="00772E5C"/>
    <w:rsid w:val="00793AB7"/>
    <w:rsid w:val="007C3F07"/>
    <w:rsid w:val="007E1B80"/>
    <w:rsid w:val="008153B5"/>
    <w:rsid w:val="00834522"/>
    <w:rsid w:val="00845918"/>
    <w:rsid w:val="008460F2"/>
    <w:rsid w:val="00847641"/>
    <w:rsid w:val="008554A0"/>
    <w:rsid w:val="008E04BE"/>
    <w:rsid w:val="008E6577"/>
    <w:rsid w:val="008F75F8"/>
    <w:rsid w:val="00922499"/>
    <w:rsid w:val="00926D0D"/>
    <w:rsid w:val="009721E7"/>
    <w:rsid w:val="00977AA1"/>
    <w:rsid w:val="00980859"/>
    <w:rsid w:val="009E4670"/>
    <w:rsid w:val="00A12512"/>
    <w:rsid w:val="00A17F03"/>
    <w:rsid w:val="00A42C57"/>
    <w:rsid w:val="00A7540D"/>
    <w:rsid w:val="00A92ED6"/>
    <w:rsid w:val="00AB41E4"/>
    <w:rsid w:val="00AB6E85"/>
    <w:rsid w:val="00AD5613"/>
    <w:rsid w:val="00AE3625"/>
    <w:rsid w:val="00AF6469"/>
    <w:rsid w:val="00B06092"/>
    <w:rsid w:val="00B252C6"/>
    <w:rsid w:val="00B30222"/>
    <w:rsid w:val="00B466BA"/>
    <w:rsid w:val="00B64259"/>
    <w:rsid w:val="00B82BD5"/>
    <w:rsid w:val="00B875B4"/>
    <w:rsid w:val="00B924E9"/>
    <w:rsid w:val="00BB6734"/>
    <w:rsid w:val="00BC1F2C"/>
    <w:rsid w:val="00C225C5"/>
    <w:rsid w:val="00C82D22"/>
    <w:rsid w:val="00CC5422"/>
    <w:rsid w:val="00CF29E7"/>
    <w:rsid w:val="00D24E7C"/>
    <w:rsid w:val="00D30989"/>
    <w:rsid w:val="00D50F07"/>
    <w:rsid w:val="00D5221F"/>
    <w:rsid w:val="00D63952"/>
    <w:rsid w:val="00D660BE"/>
    <w:rsid w:val="00D72B52"/>
    <w:rsid w:val="00D96656"/>
    <w:rsid w:val="00DA3811"/>
    <w:rsid w:val="00DE028B"/>
    <w:rsid w:val="00DE3DE3"/>
    <w:rsid w:val="00E039B9"/>
    <w:rsid w:val="00E0682C"/>
    <w:rsid w:val="00E15873"/>
    <w:rsid w:val="00E203F2"/>
    <w:rsid w:val="00E31D0D"/>
    <w:rsid w:val="00E8159F"/>
    <w:rsid w:val="00EA2BA1"/>
    <w:rsid w:val="00EA4C91"/>
    <w:rsid w:val="00ED1E32"/>
    <w:rsid w:val="00ED2A58"/>
    <w:rsid w:val="00ED4F1A"/>
    <w:rsid w:val="00F462E5"/>
    <w:rsid w:val="00F56721"/>
    <w:rsid w:val="00F63779"/>
    <w:rsid w:val="00F83DD4"/>
    <w:rsid w:val="00F83FCF"/>
    <w:rsid w:val="00F841D3"/>
    <w:rsid w:val="00FB7694"/>
    <w:rsid w:val="00FE2EFC"/>
    <w:rsid w:val="00FF2B42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D91EEB9-F88C-4716-8475-A5267421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1178D"/>
    <w:rPr>
      <w:sz w:val="20"/>
      <w:szCs w:val="20"/>
    </w:rPr>
  </w:style>
  <w:style w:type="character" w:styleId="Rimandonotaapidipagina">
    <w:name w:val="footnote reference"/>
    <w:rsid w:val="0011178D"/>
    <w:rPr>
      <w:vertAlign w:val="superscript"/>
    </w:rPr>
  </w:style>
  <w:style w:type="paragraph" w:styleId="Pidipagina">
    <w:name w:val="footer"/>
    <w:basedOn w:val="Normale"/>
    <w:rsid w:val="00CF29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F29E7"/>
  </w:style>
  <w:style w:type="paragraph" w:styleId="Intestazione">
    <w:name w:val="header"/>
    <w:basedOn w:val="Normale"/>
    <w:link w:val="IntestazioneCarattere"/>
    <w:rsid w:val="00FF2B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F2B42"/>
    <w:rPr>
      <w:sz w:val="24"/>
      <w:szCs w:val="24"/>
    </w:rPr>
  </w:style>
  <w:style w:type="paragraph" w:customStyle="1" w:styleId="Grigliamedia21">
    <w:name w:val="Griglia media 21"/>
    <w:uiPriority w:val="1"/>
    <w:qFormat/>
    <w:rsid w:val="009721E7"/>
    <w:rPr>
      <w:rFonts w:ascii="Cambria" w:eastAsia="Cambria" w:hAnsi="Cambria"/>
      <w:sz w:val="22"/>
      <w:szCs w:val="22"/>
      <w:lang w:eastAsia="en-US" w:bidi="he-IL"/>
    </w:rPr>
  </w:style>
  <w:style w:type="paragraph" w:styleId="Testofumetto">
    <w:name w:val="Balloon Text"/>
    <w:basedOn w:val="Normale"/>
    <w:link w:val="TestofumettoCarattere"/>
    <w:semiHidden/>
    <w:unhideWhenUsed/>
    <w:rsid w:val="00F637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6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Nella presentazione del Nuovo rito del Matrimonio,   i Vescovi, consegnando alla Chiesa italiana questo nuovo libro liturgico oltre ad illustrare i criteri ispiratori dell’adattamento rituale (nn</vt:lpstr>
    </vt:vector>
  </TitlesOfParts>
  <Company> </Company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Nella presentazione del Nuovo rito del Matrimonio,   i Vescovi, consegnando alla Chiesa italiana questo nuovo libro liturgico oltre ad illustrare i criteri ispiratori dell’adattamento rituale (nn</dc:title>
  <dc:subject/>
  <dc:creator>don mario</dc:creator>
  <cp:keywords/>
  <dc:description/>
  <cp:lastModifiedBy>Carlo Cinquepalmi</cp:lastModifiedBy>
  <cp:revision>4</cp:revision>
  <cp:lastPrinted>2017-02-22T14:00:00Z</cp:lastPrinted>
  <dcterms:created xsi:type="dcterms:W3CDTF">2017-02-14T00:09:00Z</dcterms:created>
  <dcterms:modified xsi:type="dcterms:W3CDTF">2017-02-22T14:02:00Z</dcterms:modified>
</cp:coreProperties>
</file>